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33DCA" w14:textId="77777777" w:rsidR="00E24C66" w:rsidRDefault="00E24C66" w:rsidP="00E24C66">
      <w:pPr>
        <w:spacing w:after="0" w:line="240" w:lineRule="auto"/>
        <w:jc w:val="center"/>
        <w:rPr>
          <w:rFonts w:ascii="Times New Roman" w:hAnsi="Times New Roman"/>
          <w:b/>
          <w:sz w:val="24"/>
          <w:szCs w:val="24"/>
          <w:lang w:val="pt-BR"/>
        </w:rPr>
      </w:pPr>
    </w:p>
    <w:tbl>
      <w:tblPr>
        <w:tblW w:w="10773" w:type="dxa"/>
        <w:jc w:val="center"/>
        <w:tblLayout w:type="fixed"/>
        <w:tblLook w:val="0000" w:firstRow="0" w:lastRow="0" w:firstColumn="0" w:lastColumn="0" w:noHBand="0" w:noVBand="0"/>
      </w:tblPr>
      <w:tblGrid>
        <w:gridCol w:w="4678"/>
        <w:gridCol w:w="6095"/>
      </w:tblGrid>
      <w:tr w:rsidR="00E24C66" w:rsidRPr="00C74481" w14:paraId="1F4F702A" w14:textId="77777777" w:rsidTr="00662640">
        <w:trPr>
          <w:trHeight w:val="465"/>
          <w:jc w:val="center"/>
        </w:trPr>
        <w:tc>
          <w:tcPr>
            <w:tcW w:w="4678" w:type="dxa"/>
          </w:tcPr>
          <w:p w14:paraId="15765B2E" w14:textId="77777777" w:rsidR="00E24C66" w:rsidRPr="00C74481" w:rsidRDefault="00E24C66" w:rsidP="00662640">
            <w:pPr>
              <w:widowControl w:val="0"/>
              <w:tabs>
                <w:tab w:val="left" w:pos="540"/>
                <w:tab w:val="left" w:pos="870"/>
                <w:tab w:val="center" w:pos="2082"/>
              </w:tabs>
              <w:autoSpaceDE w:val="0"/>
              <w:autoSpaceDN w:val="0"/>
              <w:adjustRightInd w:val="0"/>
              <w:spacing w:after="120"/>
              <w:ind w:left="-142" w:right="-62"/>
              <w:jc w:val="center"/>
              <w:rPr>
                <w:rFonts w:ascii="Times New Roman" w:hAnsi="Times New Roman"/>
                <w:sz w:val="26"/>
                <w:szCs w:val="26"/>
              </w:rPr>
            </w:pPr>
            <w:r w:rsidRPr="00C74481">
              <w:rPr>
                <w:rFonts w:ascii="Times New Roman" w:hAnsi="Times New Roman"/>
                <w:noProof/>
                <w:sz w:val="26"/>
                <w:szCs w:val="26"/>
              </w:rPr>
              <mc:AlternateContent>
                <mc:Choice Requires="wps">
                  <w:drawing>
                    <wp:anchor distT="4294967291" distB="4294967291" distL="114300" distR="114300" simplePos="0" relativeHeight="251659264" behindDoc="0" locked="0" layoutInCell="1" allowOverlap="1" wp14:anchorId="00D12372" wp14:editId="72496D28">
                      <wp:simplePos x="0" y="0"/>
                      <wp:positionH relativeFrom="column">
                        <wp:posOffset>923554</wp:posOffset>
                      </wp:positionH>
                      <wp:positionV relativeFrom="paragraph">
                        <wp:posOffset>432435</wp:posOffset>
                      </wp:positionV>
                      <wp:extent cx="939800" cy="0"/>
                      <wp:effectExtent l="0" t="0" r="0" b="0"/>
                      <wp:wrapNone/>
                      <wp:docPr id="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ECFB6" id="Straight Connector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2.7pt,34.05pt" to="146.7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"/>
                  </w:pict>
                </mc:Fallback>
              </mc:AlternateContent>
            </w:r>
            <w:r w:rsidRPr="00C74481">
              <w:rPr>
                <w:rFonts w:ascii="Times New Roman" w:hAnsi="Times New Roman"/>
                <w:w w:val="99"/>
                <w:sz w:val="26"/>
                <w:szCs w:val="26"/>
              </w:rPr>
              <w:t xml:space="preserve">  </w:t>
            </w:r>
            <w:r w:rsidRPr="00C74481">
              <w:rPr>
                <w:rFonts w:ascii="Times New Roman" w:hAnsi="Times New Roman"/>
                <w:sz w:val="26"/>
                <w:szCs w:val="26"/>
              </w:rPr>
              <w:t xml:space="preserve">UBND TỈNH HÀ TĨNH                                                                     </w:t>
            </w:r>
            <w:r w:rsidRPr="00C74481">
              <w:rPr>
                <w:rFonts w:ascii="Times New Roman" w:hAnsi="Times New Roman"/>
                <w:b/>
                <w:sz w:val="26"/>
                <w:szCs w:val="26"/>
              </w:rPr>
              <w:t>SỞ NÔNG NGHIỆP VÀ MÔI TRƯỜNG</w:t>
            </w:r>
          </w:p>
        </w:tc>
        <w:tc>
          <w:tcPr>
            <w:tcW w:w="6095" w:type="dxa"/>
          </w:tcPr>
          <w:p w14:paraId="7894C3A8" w14:textId="77777777" w:rsidR="00E24C66" w:rsidRPr="00C74481" w:rsidRDefault="00E24C66" w:rsidP="00662640">
            <w:pPr>
              <w:widowControl w:val="0"/>
              <w:autoSpaceDE w:val="0"/>
              <w:autoSpaceDN w:val="0"/>
              <w:adjustRightInd w:val="0"/>
              <w:spacing w:after="0"/>
              <w:ind w:left="-164" w:right="-154"/>
              <w:jc w:val="center"/>
              <w:rPr>
                <w:rFonts w:ascii="Times New Roman" w:hAnsi="Times New Roman"/>
                <w:b/>
                <w:bCs/>
                <w:sz w:val="26"/>
                <w:szCs w:val="26"/>
              </w:rPr>
            </w:pPr>
            <w:r w:rsidRPr="00C74481">
              <w:rPr>
                <w:rFonts w:ascii="Times New Roman" w:hAnsi="Times New Roman"/>
                <w:b/>
                <w:bCs/>
                <w:sz w:val="26"/>
                <w:szCs w:val="26"/>
              </w:rPr>
              <w:t>CỘNG HOÀ XÃ HỘI CHỦ NGHĨA VIỆT NAM</w:t>
            </w:r>
          </w:p>
          <w:p w14:paraId="7E22FCF6" w14:textId="77777777" w:rsidR="00E24C66" w:rsidRPr="00C74481" w:rsidRDefault="00E24C66" w:rsidP="00662640">
            <w:pPr>
              <w:widowControl w:val="0"/>
              <w:autoSpaceDE w:val="0"/>
              <w:autoSpaceDN w:val="0"/>
              <w:adjustRightInd w:val="0"/>
              <w:spacing w:after="0"/>
              <w:ind w:left="-113" w:right="-153"/>
              <w:jc w:val="center"/>
              <w:rPr>
                <w:rFonts w:ascii="Times New Roman" w:hAnsi="Times New Roman"/>
                <w:i/>
                <w:iCs/>
                <w:w w:val="99"/>
                <w:sz w:val="28"/>
                <w:szCs w:val="28"/>
              </w:rPr>
            </w:pPr>
            <w:r w:rsidRPr="00C74481">
              <w:rPr>
                <w:rFonts w:ascii="Times New Roman" w:hAnsi="Times New Roman"/>
                <w:noProof/>
                <w:sz w:val="28"/>
                <w:szCs w:val="28"/>
              </w:rPr>
              <mc:AlternateContent>
                <mc:Choice Requires="wps">
                  <w:drawing>
                    <wp:anchor distT="4294967291" distB="4294967291" distL="114300" distR="114300" simplePos="0" relativeHeight="251660288" behindDoc="0" locked="0" layoutInCell="1" allowOverlap="1" wp14:anchorId="05ED7FD6" wp14:editId="034DEDC4">
                      <wp:simplePos x="0" y="0"/>
                      <wp:positionH relativeFrom="column">
                        <wp:posOffset>888365</wp:posOffset>
                      </wp:positionH>
                      <wp:positionV relativeFrom="paragraph">
                        <wp:posOffset>231511</wp:posOffset>
                      </wp:positionV>
                      <wp:extent cx="1963420" cy="0"/>
                      <wp:effectExtent l="0" t="0" r="0"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D5960" id="Straight Connector 2"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9.95pt,18.25pt" to="224.5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"/>
                  </w:pict>
                </mc:Fallback>
              </mc:AlternateContent>
            </w:r>
            <w:r w:rsidRPr="00C74481">
              <w:rPr>
                <w:rFonts w:ascii="Times New Roman" w:hAnsi="Times New Roman"/>
                <w:b/>
                <w:bCs/>
                <w:sz w:val="28"/>
                <w:szCs w:val="28"/>
              </w:rPr>
              <w:t>Độc lập - Tự do - Hạnh phúc</w:t>
            </w:r>
            <w:r w:rsidRPr="00C74481">
              <w:rPr>
                <w:rFonts w:ascii="Times New Roman" w:hAnsi="Times New Roman"/>
                <w:iCs/>
                <w:w w:val="99"/>
                <w:sz w:val="28"/>
                <w:szCs w:val="28"/>
              </w:rPr>
              <w:t xml:space="preserve">   </w:t>
            </w:r>
          </w:p>
        </w:tc>
      </w:tr>
      <w:tr w:rsidR="00E24C66" w:rsidRPr="00C74481" w14:paraId="690C572F" w14:textId="77777777" w:rsidTr="00662640">
        <w:trPr>
          <w:trHeight w:val="1007"/>
          <w:jc w:val="center"/>
        </w:trPr>
        <w:tc>
          <w:tcPr>
            <w:tcW w:w="4678" w:type="dxa"/>
          </w:tcPr>
          <w:p w14:paraId="458ECC68" w14:textId="77777777" w:rsidR="00E24C66" w:rsidRPr="00C74481" w:rsidRDefault="00E24C66" w:rsidP="00662640">
            <w:pPr>
              <w:widowControl w:val="0"/>
              <w:tabs>
                <w:tab w:val="left" w:pos="540"/>
                <w:tab w:val="left" w:pos="870"/>
                <w:tab w:val="center" w:pos="2082"/>
              </w:tabs>
              <w:autoSpaceDE w:val="0"/>
              <w:autoSpaceDN w:val="0"/>
              <w:adjustRightInd w:val="0"/>
              <w:spacing w:after="100"/>
              <w:jc w:val="center"/>
              <w:rPr>
                <w:rFonts w:ascii="Times New Roman" w:hAnsi="Times New Roman"/>
                <w:spacing w:val="-4"/>
                <w:sz w:val="26"/>
                <w:szCs w:val="26"/>
              </w:rPr>
            </w:pPr>
          </w:p>
        </w:tc>
        <w:tc>
          <w:tcPr>
            <w:tcW w:w="6095" w:type="dxa"/>
          </w:tcPr>
          <w:p w14:paraId="124480C2" w14:textId="77777777" w:rsidR="00E24C66" w:rsidRPr="00C74481" w:rsidRDefault="00E24C66" w:rsidP="00662640">
            <w:pPr>
              <w:widowControl w:val="0"/>
              <w:autoSpaceDE w:val="0"/>
              <w:autoSpaceDN w:val="0"/>
              <w:adjustRightInd w:val="0"/>
              <w:spacing w:before="240"/>
              <w:ind w:left="-181"/>
              <w:jc w:val="center"/>
              <w:rPr>
                <w:rFonts w:ascii="Times New Roman" w:hAnsi="Times New Roman"/>
                <w:i/>
                <w:iCs/>
                <w:sz w:val="26"/>
                <w:szCs w:val="26"/>
              </w:rPr>
            </w:pPr>
            <w:r w:rsidRPr="00C74481">
              <w:rPr>
                <w:rFonts w:ascii="Times New Roman" w:hAnsi="Times New Roman"/>
                <w:i/>
                <w:iCs/>
                <w:sz w:val="26"/>
                <w:szCs w:val="26"/>
              </w:rPr>
              <w:t xml:space="preserve">     Hà Tĩnh, ngày         tháng </w:t>
            </w:r>
            <w:r>
              <w:rPr>
                <w:rFonts w:ascii="Times New Roman" w:hAnsi="Times New Roman"/>
                <w:i/>
                <w:iCs/>
                <w:sz w:val="26"/>
                <w:szCs w:val="26"/>
              </w:rPr>
              <w:t>9</w:t>
            </w:r>
            <w:r w:rsidRPr="00C74481">
              <w:rPr>
                <w:rFonts w:ascii="Times New Roman" w:hAnsi="Times New Roman"/>
                <w:i/>
                <w:iCs/>
                <w:sz w:val="26"/>
                <w:szCs w:val="26"/>
              </w:rPr>
              <w:t xml:space="preserve"> năm 2025</w:t>
            </w:r>
          </w:p>
        </w:tc>
      </w:tr>
    </w:tbl>
    <w:p w14:paraId="19799592" w14:textId="77777777" w:rsidR="00E24C66" w:rsidRPr="00C74481" w:rsidRDefault="00E24C66" w:rsidP="00E24C66">
      <w:pPr>
        <w:spacing w:after="0" w:line="240" w:lineRule="auto"/>
        <w:jc w:val="center"/>
        <w:rPr>
          <w:rFonts w:ascii="Times New Roman" w:hAnsi="Times New Roman"/>
          <w:b/>
          <w:sz w:val="24"/>
          <w:szCs w:val="24"/>
          <w:lang w:val="pt-BR"/>
        </w:rPr>
      </w:pPr>
    </w:p>
    <w:p w14:paraId="686BC04D" w14:textId="77777777" w:rsidR="00E24C66" w:rsidRPr="00C74481" w:rsidRDefault="00E24C66" w:rsidP="00E24C66">
      <w:pPr>
        <w:spacing w:after="0" w:line="240" w:lineRule="auto"/>
        <w:jc w:val="center"/>
        <w:rPr>
          <w:rFonts w:ascii="Times New Roman" w:hAnsi="Times New Roman"/>
          <w:b/>
          <w:bCs/>
          <w:sz w:val="28"/>
          <w:szCs w:val="28"/>
        </w:rPr>
      </w:pPr>
      <w:r w:rsidRPr="00C74481">
        <w:rPr>
          <w:rFonts w:ascii="Times New Roman" w:hAnsi="Times New Roman"/>
          <w:b/>
          <w:bCs/>
          <w:sz w:val="28"/>
          <w:szCs w:val="28"/>
        </w:rPr>
        <w:t>BẢN</w:t>
      </w:r>
      <w:r>
        <w:rPr>
          <w:rFonts w:ascii="Times New Roman" w:hAnsi="Times New Roman"/>
          <w:b/>
          <w:bCs/>
          <w:sz w:val="28"/>
          <w:szCs w:val="28"/>
        </w:rPr>
        <w:t>G</w:t>
      </w:r>
      <w:r w:rsidRPr="00C74481">
        <w:rPr>
          <w:rFonts w:ascii="Times New Roman" w:hAnsi="Times New Roman"/>
          <w:b/>
          <w:bCs/>
          <w:sz w:val="28"/>
          <w:szCs w:val="28"/>
        </w:rPr>
        <w:t xml:space="preserve"> SO SÁNH, THUYẾT MINH NỘI DUNG DỰ THẢO </w:t>
      </w:r>
      <w:r>
        <w:rPr>
          <w:rFonts w:ascii="Times New Roman" w:hAnsi="Times New Roman"/>
          <w:b/>
          <w:bCs/>
          <w:sz w:val="28"/>
          <w:szCs w:val="28"/>
          <w:shd w:val="clear" w:color="auto" w:fill="FFFFFF"/>
        </w:rPr>
        <w:t>NGHỊ QUYẾT SỬA ĐỔI NGHỊ QUYẾT</w:t>
      </w:r>
      <w:r w:rsidRPr="00C74481">
        <w:rPr>
          <w:rFonts w:ascii="Times New Roman" w:hAnsi="Times New Roman"/>
          <w:b/>
          <w:bCs/>
          <w:color w:val="000000"/>
          <w:sz w:val="28"/>
          <w:szCs w:val="28"/>
          <w:shd w:val="clear" w:color="auto" w:fill="FFFFFF"/>
        </w:rPr>
        <w:t xml:space="preserve"> SỐ </w:t>
      </w:r>
      <w:r>
        <w:rPr>
          <w:rFonts w:ascii="Times New Roman" w:hAnsi="Times New Roman"/>
          <w:b/>
          <w:bCs/>
          <w:color w:val="000000"/>
          <w:sz w:val="28"/>
          <w:szCs w:val="28"/>
          <w:shd w:val="clear" w:color="auto" w:fill="FFFFFF"/>
        </w:rPr>
        <w:t>250</w:t>
      </w:r>
      <w:r w:rsidRPr="00C74481">
        <w:rPr>
          <w:rFonts w:ascii="Times New Roman" w:hAnsi="Times New Roman"/>
          <w:b/>
          <w:bCs/>
          <w:color w:val="000000"/>
          <w:sz w:val="28"/>
          <w:szCs w:val="28"/>
          <w:shd w:val="clear" w:color="auto" w:fill="FFFFFF"/>
        </w:rPr>
        <w:t>/2020</w:t>
      </w:r>
      <w:r>
        <w:rPr>
          <w:rFonts w:ascii="Times New Roman" w:hAnsi="Times New Roman"/>
          <w:b/>
          <w:bCs/>
          <w:color w:val="000000"/>
          <w:sz w:val="28"/>
          <w:szCs w:val="28"/>
          <w:shd w:val="clear" w:color="auto" w:fill="FFFFFF"/>
        </w:rPr>
        <w:t>/NQ-HĐND</w:t>
      </w:r>
      <w:r w:rsidRPr="00C74481">
        <w:rPr>
          <w:rFonts w:ascii="Times New Roman" w:hAnsi="Times New Roman"/>
          <w:b/>
          <w:bCs/>
          <w:color w:val="000000"/>
          <w:sz w:val="28"/>
          <w:szCs w:val="28"/>
          <w:shd w:val="clear" w:color="auto" w:fill="FFFFFF"/>
        </w:rPr>
        <w:t xml:space="preserve"> NGÀY </w:t>
      </w:r>
      <w:r>
        <w:rPr>
          <w:rFonts w:ascii="Times New Roman" w:hAnsi="Times New Roman"/>
          <w:b/>
          <w:bCs/>
          <w:color w:val="000000"/>
          <w:sz w:val="28"/>
          <w:szCs w:val="28"/>
          <w:shd w:val="clear" w:color="auto" w:fill="FFFFFF"/>
        </w:rPr>
        <w:t>08</w:t>
      </w:r>
      <w:r w:rsidRPr="00C74481">
        <w:rPr>
          <w:rFonts w:ascii="Times New Roman" w:hAnsi="Times New Roman"/>
          <w:b/>
          <w:bCs/>
          <w:color w:val="000000"/>
          <w:sz w:val="28"/>
          <w:szCs w:val="28"/>
          <w:shd w:val="clear" w:color="auto" w:fill="FFFFFF"/>
        </w:rPr>
        <w:t>/1</w:t>
      </w:r>
      <w:r>
        <w:rPr>
          <w:rFonts w:ascii="Times New Roman" w:hAnsi="Times New Roman"/>
          <w:b/>
          <w:bCs/>
          <w:color w:val="000000"/>
          <w:sz w:val="28"/>
          <w:szCs w:val="28"/>
          <w:shd w:val="clear" w:color="auto" w:fill="FFFFFF"/>
        </w:rPr>
        <w:t>2</w:t>
      </w:r>
      <w:r w:rsidRPr="00C74481">
        <w:rPr>
          <w:rFonts w:ascii="Times New Roman" w:hAnsi="Times New Roman"/>
          <w:b/>
          <w:bCs/>
          <w:color w:val="000000"/>
          <w:sz w:val="28"/>
          <w:szCs w:val="28"/>
          <w:shd w:val="clear" w:color="auto" w:fill="FFFFFF"/>
        </w:rPr>
        <w:t xml:space="preserve">/2020 CỦA </w:t>
      </w:r>
      <w:r>
        <w:rPr>
          <w:rFonts w:ascii="Times New Roman" w:hAnsi="Times New Roman"/>
          <w:b/>
          <w:bCs/>
          <w:color w:val="000000"/>
          <w:sz w:val="28"/>
          <w:szCs w:val="28"/>
          <w:shd w:val="clear" w:color="auto" w:fill="FFFFFF"/>
        </w:rPr>
        <w:t>HĐND</w:t>
      </w:r>
      <w:r w:rsidRPr="00C74481">
        <w:rPr>
          <w:rFonts w:ascii="Times New Roman" w:hAnsi="Times New Roman"/>
          <w:b/>
          <w:bCs/>
          <w:color w:val="000000"/>
          <w:sz w:val="28"/>
          <w:szCs w:val="28"/>
          <w:shd w:val="clear" w:color="auto" w:fill="FFFFFF"/>
        </w:rPr>
        <w:t xml:space="preserve"> TỈNH</w:t>
      </w:r>
      <w:r>
        <w:rPr>
          <w:rFonts w:ascii="Times New Roman" w:hAnsi="Times New Roman"/>
          <w:b/>
          <w:bCs/>
          <w:color w:val="000000"/>
          <w:sz w:val="28"/>
          <w:szCs w:val="28"/>
          <w:shd w:val="clear" w:color="auto" w:fill="FFFFFF"/>
        </w:rPr>
        <w:t xml:space="preserve"> </w:t>
      </w:r>
      <w:bookmarkStart w:id="0" w:name="loai_1_name"/>
      <w:r w:rsidRPr="00E24C66">
        <w:rPr>
          <w:rFonts w:ascii="Times New Roman" w:hAnsi="Times New Roman"/>
          <w:b/>
          <w:bCs/>
          <w:sz w:val="28"/>
          <w:szCs w:val="28"/>
        </w:rPr>
        <w:t>QUY ĐỊNH NỘI DUNG, NHIỆM VỤ CHI DUY TU, BẢO DƯỠNG VÀ XỬ LÝ CẤP BÁCH SỰ CỐ ĐÊ ĐIỀU THUỘC HỆ THỐNG ĐÊ ĐIỀU DO ĐỊA PHƯƠNG QUẢN LÝ TRÊN ĐỊA BÀN TỈNH HÀ TĨNH</w:t>
      </w:r>
      <w:bookmarkEnd w:id="0"/>
    </w:p>
    <w:p w14:paraId="08BD4801" w14:textId="77777777" w:rsidR="00E24C66" w:rsidRPr="00C74481" w:rsidRDefault="00E24C66" w:rsidP="00E24C66">
      <w:pPr>
        <w:spacing w:after="0" w:line="240" w:lineRule="auto"/>
        <w:jc w:val="center"/>
        <w:rPr>
          <w:rFonts w:ascii="Times New Roman" w:hAnsi="Times New Roman"/>
          <w:i/>
          <w:sz w:val="24"/>
          <w:szCs w:val="24"/>
          <w:lang w:val="pt-BR"/>
        </w:rPr>
      </w:pPr>
    </w:p>
    <w:tbl>
      <w:tblPr>
        <w:tblW w:w="15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956"/>
        <w:gridCol w:w="5096"/>
        <w:gridCol w:w="4777"/>
      </w:tblGrid>
      <w:tr w:rsidR="00E24C66" w:rsidRPr="00C74481" w14:paraId="1B131861" w14:textId="77777777" w:rsidTr="00662640">
        <w:trPr>
          <w:trHeight w:val="414"/>
          <w:tblHeader/>
          <w:jc w:val="center"/>
        </w:trPr>
        <w:tc>
          <w:tcPr>
            <w:tcW w:w="568" w:type="dxa"/>
            <w:vAlign w:val="center"/>
          </w:tcPr>
          <w:p w14:paraId="608015C5" w14:textId="77777777" w:rsidR="00E24C66" w:rsidRPr="00C74481" w:rsidRDefault="00E24C66" w:rsidP="00662640">
            <w:pPr>
              <w:pStyle w:val="TableParagraph"/>
              <w:widowControl/>
              <w:suppressLineNumbers/>
              <w:suppressAutoHyphens/>
              <w:jc w:val="center"/>
              <w:rPr>
                <w:b/>
                <w:sz w:val="24"/>
                <w:szCs w:val="24"/>
              </w:rPr>
            </w:pPr>
            <w:r w:rsidRPr="00C74481">
              <w:rPr>
                <w:b/>
                <w:sz w:val="24"/>
                <w:szCs w:val="24"/>
              </w:rPr>
              <w:t>TT</w:t>
            </w:r>
          </w:p>
        </w:tc>
        <w:tc>
          <w:tcPr>
            <w:tcW w:w="4956" w:type="dxa"/>
            <w:vAlign w:val="center"/>
          </w:tcPr>
          <w:p w14:paraId="2CD00461" w14:textId="49980DB1" w:rsidR="00E24C66" w:rsidRPr="00C74481" w:rsidRDefault="00C5537D" w:rsidP="00662640">
            <w:pPr>
              <w:pStyle w:val="TableParagraph"/>
              <w:widowControl/>
              <w:suppressLineNumbers/>
              <w:suppressAutoHyphens/>
              <w:jc w:val="center"/>
              <w:rPr>
                <w:b/>
                <w:sz w:val="24"/>
                <w:szCs w:val="24"/>
              </w:rPr>
            </w:pPr>
            <w:r>
              <w:rPr>
                <w:b/>
                <w:sz w:val="24"/>
                <w:szCs w:val="24"/>
              </w:rPr>
              <w:t>NGHỊ QUYẾT</w:t>
            </w:r>
            <w:r w:rsidRPr="00C74481">
              <w:rPr>
                <w:b/>
                <w:sz w:val="24"/>
                <w:szCs w:val="24"/>
              </w:rPr>
              <w:t xml:space="preserve"> </w:t>
            </w:r>
            <w:r>
              <w:rPr>
                <w:b/>
                <w:sz w:val="24"/>
                <w:szCs w:val="24"/>
              </w:rPr>
              <w:t>SỐ</w:t>
            </w:r>
            <w:r w:rsidRPr="00C74481">
              <w:rPr>
                <w:b/>
                <w:sz w:val="24"/>
                <w:szCs w:val="24"/>
              </w:rPr>
              <w:t xml:space="preserve"> 2</w:t>
            </w:r>
            <w:r>
              <w:rPr>
                <w:b/>
                <w:sz w:val="24"/>
                <w:szCs w:val="24"/>
              </w:rPr>
              <w:t>50</w:t>
            </w:r>
            <w:r w:rsidRPr="00C74481">
              <w:rPr>
                <w:b/>
                <w:sz w:val="24"/>
                <w:szCs w:val="24"/>
              </w:rPr>
              <w:t>/2020/</w:t>
            </w:r>
            <w:r>
              <w:rPr>
                <w:b/>
                <w:sz w:val="24"/>
                <w:szCs w:val="24"/>
              </w:rPr>
              <w:t>NQ</w:t>
            </w:r>
            <w:r w:rsidRPr="00C74481">
              <w:rPr>
                <w:b/>
                <w:sz w:val="24"/>
                <w:szCs w:val="24"/>
              </w:rPr>
              <w:t>-</w:t>
            </w:r>
            <w:r>
              <w:rPr>
                <w:b/>
                <w:sz w:val="24"/>
                <w:szCs w:val="24"/>
              </w:rPr>
              <w:t>HĐ</w:t>
            </w:r>
            <w:r w:rsidRPr="00C74481">
              <w:rPr>
                <w:b/>
                <w:sz w:val="24"/>
                <w:szCs w:val="24"/>
              </w:rPr>
              <w:t>ND</w:t>
            </w:r>
          </w:p>
        </w:tc>
        <w:tc>
          <w:tcPr>
            <w:tcW w:w="5096" w:type="dxa"/>
            <w:vAlign w:val="center"/>
          </w:tcPr>
          <w:p w14:paraId="4344C099" w14:textId="69520C7A" w:rsidR="00E24C66" w:rsidRPr="00C74481" w:rsidRDefault="00C5537D" w:rsidP="00662640">
            <w:pPr>
              <w:pStyle w:val="TableParagraph"/>
              <w:widowControl/>
              <w:suppressLineNumbers/>
              <w:suppressAutoHyphens/>
              <w:jc w:val="center"/>
              <w:rPr>
                <w:b/>
                <w:sz w:val="24"/>
                <w:szCs w:val="24"/>
              </w:rPr>
            </w:pPr>
            <w:r w:rsidRPr="00C74481">
              <w:rPr>
                <w:b/>
                <w:sz w:val="24"/>
                <w:szCs w:val="24"/>
              </w:rPr>
              <w:t xml:space="preserve">NỘI DUNG DỰ THẢO </w:t>
            </w:r>
            <w:r>
              <w:rPr>
                <w:b/>
                <w:sz w:val="24"/>
                <w:szCs w:val="24"/>
              </w:rPr>
              <w:t>NGHỊ QUYẾT</w:t>
            </w:r>
            <w:r w:rsidRPr="00C74481">
              <w:rPr>
                <w:b/>
                <w:sz w:val="24"/>
                <w:szCs w:val="24"/>
              </w:rPr>
              <w:t xml:space="preserve"> MỚI</w:t>
            </w:r>
          </w:p>
        </w:tc>
        <w:tc>
          <w:tcPr>
            <w:tcW w:w="4777" w:type="dxa"/>
            <w:vAlign w:val="center"/>
          </w:tcPr>
          <w:p w14:paraId="3F9D92BC" w14:textId="77777777" w:rsidR="00E24C66" w:rsidRPr="00C74481" w:rsidRDefault="00E24C66" w:rsidP="00662640">
            <w:pPr>
              <w:pStyle w:val="TableParagraph"/>
              <w:widowControl/>
              <w:suppressLineNumbers/>
              <w:suppressAutoHyphens/>
              <w:jc w:val="center"/>
              <w:rPr>
                <w:b/>
                <w:sz w:val="24"/>
                <w:szCs w:val="24"/>
              </w:rPr>
            </w:pPr>
            <w:r w:rsidRPr="00C74481">
              <w:rPr>
                <w:b/>
                <w:sz w:val="24"/>
                <w:szCs w:val="24"/>
              </w:rPr>
              <w:t>THUYẾT MINH</w:t>
            </w:r>
          </w:p>
        </w:tc>
      </w:tr>
      <w:tr w:rsidR="00E24C66" w:rsidRPr="00C74481" w14:paraId="6496591D" w14:textId="77777777" w:rsidTr="00662640">
        <w:trPr>
          <w:trHeight w:val="242"/>
          <w:tblHeader/>
          <w:jc w:val="center"/>
        </w:trPr>
        <w:tc>
          <w:tcPr>
            <w:tcW w:w="568" w:type="dxa"/>
            <w:vAlign w:val="center"/>
          </w:tcPr>
          <w:p w14:paraId="469B1229" w14:textId="77777777" w:rsidR="00E24C66" w:rsidRPr="00C74481" w:rsidRDefault="00E24C66" w:rsidP="00662640">
            <w:pPr>
              <w:pStyle w:val="TableParagraph"/>
              <w:widowControl/>
              <w:suppressLineNumbers/>
              <w:suppressAutoHyphens/>
              <w:jc w:val="center"/>
              <w:rPr>
                <w:sz w:val="24"/>
                <w:szCs w:val="24"/>
              </w:rPr>
            </w:pPr>
            <w:r w:rsidRPr="00C74481">
              <w:rPr>
                <w:sz w:val="24"/>
                <w:szCs w:val="24"/>
              </w:rPr>
              <w:t>(1)</w:t>
            </w:r>
          </w:p>
        </w:tc>
        <w:tc>
          <w:tcPr>
            <w:tcW w:w="4956" w:type="dxa"/>
            <w:vAlign w:val="center"/>
          </w:tcPr>
          <w:p w14:paraId="46148F54" w14:textId="77777777" w:rsidR="00E24C66" w:rsidRPr="00C74481" w:rsidRDefault="00E24C66" w:rsidP="00662640">
            <w:pPr>
              <w:pStyle w:val="TableParagraph"/>
              <w:widowControl/>
              <w:suppressLineNumbers/>
              <w:suppressAutoHyphens/>
              <w:jc w:val="center"/>
              <w:rPr>
                <w:sz w:val="24"/>
                <w:szCs w:val="24"/>
              </w:rPr>
            </w:pPr>
            <w:r w:rsidRPr="00C74481">
              <w:rPr>
                <w:sz w:val="24"/>
                <w:szCs w:val="24"/>
              </w:rPr>
              <w:t>(2)</w:t>
            </w:r>
          </w:p>
        </w:tc>
        <w:tc>
          <w:tcPr>
            <w:tcW w:w="5096" w:type="dxa"/>
            <w:vAlign w:val="center"/>
          </w:tcPr>
          <w:p w14:paraId="1DCB5A97" w14:textId="77777777" w:rsidR="00E24C66" w:rsidRPr="00C74481" w:rsidRDefault="00E24C66" w:rsidP="00662640">
            <w:pPr>
              <w:pStyle w:val="TableParagraph"/>
              <w:widowControl/>
              <w:suppressLineNumbers/>
              <w:suppressAutoHyphens/>
              <w:jc w:val="center"/>
              <w:rPr>
                <w:sz w:val="24"/>
                <w:szCs w:val="24"/>
              </w:rPr>
            </w:pPr>
            <w:r w:rsidRPr="00C74481">
              <w:rPr>
                <w:sz w:val="24"/>
                <w:szCs w:val="24"/>
              </w:rPr>
              <w:t>(3)</w:t>
            </w:r>
          </w:p>
        </w:tc>
        <w:tc>
          <w:tcPr>
            <w:tcW w:w="4777" w:type="dxa"/>
          </w:tcPr>
          <w:p w14:paraId="1D5F1ADD" w14:textId="77777777" w:rsidR="00E24C66" w:rsidRPr="00C74481" w:rsidRDefault="00E24C66" w:rsidP="00662640">
            <w:pPr>
              <w:pStyle w:val="TableParagraph"/>
              <w:widowControl/>
              <w:suppressLineNumbers/>
              <w:suppressAutoHyphens/>
              <w:jc w:val="center"/>
              <w:rPr>
                <w:sz w:val="24"/>
                <w:szCs w:val="24"/>
              </w:rPr>
            </w:pPr>
            <w:r w:rsidRPr="00C74481">
              <w:rPr>
                <w:sz w:val="24"/>
                <w:szCs w:val="24"/>
              </w:rPr>
              <w:t>(4)</w:t>
            </w:r>
          </w:p>
        </w:tc>
      </w:tr>
      <w:tr w:rsidR="00E24C66" w:rsidRPr="00C74481" w14:paraId="7495406C" w14:textId="77777777" w:rsidTr="00662640">
        <w:trPr>
          <w:trHeight w:val="853"/>
          <w:jc w:val="center"/>
        </w:trPr>
        <w:tc>
          <w:tcPr>
            <w:tcW w:w="568" w:type="dxa"/>
            <w:vAlign w:val="center"/>
          </w:tcPr>
          <w:p w14:paraId="04B43F18" w14:textId="77777777" w:rsidR="00E24C66" w:rsidRPr="00C74481" w:rsidRDefault="00E24C66" w:rsidP="00662640">
            <w:pPr>
              <w:pStyle w:val="TableParagraph"/>
              <w:widowControl/>
              <w:suppressLineNumbers/>
              <w:suppressAutoHyphens/>
              <w:jc w:val="center"/>
              <w:rPr>
                <w:sz w:val="24"/>
                <w:szCs w:val="24"/>
              </w:rPr>
            </w:pPr>
            <w:r>
              <w:rPr>
                <w:sz w:val="24"/>
                <w:szCs w:val="24"/>
              </w:rPr>
              <w:t>3</w:t>
            </w:r>
          </w:p>
        </w:tc>
        <w:tc>
          <w:tcPr>
            <w:tcW w:w="4956" w:type="dxa"/>
          </w:tcPr>
          <w:p w14:paraId="11E52D66" w14:textId="77777777" w:rsidR="00E24C66" w:rsidRPr="00E24C66" w:rsidRDefault="00E24C66" w:rsidP="00E24C66">
            <w:pPr>
              <w:shd w:val="clear" w:color="auto" w:fill="FFFFFF"/>
              <w:spacing w:after="0" w:line="234" w:lineRule="atLeast"/>
              <w:rPr>
                <w:rFonts w:ascii="Times New Roman" w:eastAsia="Times New Roman" w:hAnsi="Times New Roman"/>
                <w:b/>
                <w:bCs/>
                <w:color w:val="000000"/>
                <w:sz w:val="24"/>
                <w:szCs w:val="24"/>
                <w:lang w:val="vi-VN"/>
              </w:rPr>
            </w:pPr>
            <w:r w:rsidRPr="00E24C66">
              <w:rPr>
                <w:rFonts w:ascii="Times New Roman" w:eastAsia="Times New Roman" w:hAnsi="Times New Roman"/>
                <w:b/>
                <w:bCs/>
                <w:color w:val="000000"/>
                <w:sz w:val="24"/>
                <w:szCs w:val="24"/>
                <w:lang w:val="vi-VN"/>
              </w:rPr>
              <w:t>Điều 3. Nguồn kinh phí thực hiện</w:t>
            </w:r>
          </w:p>
          <w:p w14:paraId="200B65F1" w14:textId="77777777" w:rsidR="00E24C66" w:rsidRPr="00E24C66" w:rsidRDefault="00E24C66" w:rsidP="00FA379A">
            <w:pPr>
              <w:shd w:val="clear" w:color="auto" w:fill="FFFFFF"/>
              <w:spacing w:before="120" w:after="120" w:line="234" w:lineRule="atLeast"/>
              <w:jc w:val="both"/>
              <w:rPr>
                <w:rFonts w:ascii="Times New Roman" w:eastAsia="Times New Roman" w:hAnsi="Times New Roman"/>
                <w:color w:val="000000"/>
                <w:sz w:val="24"/>
                <w:szCs w:val="24"/>
                <w:lang w:val="vi-VN"/>
              </w:rPr>
            </w:pPr>
            <w:r w:rsidRPr="00E24C66">
              <w:rPr>
                <w:rFonts w:ascii="Times New Roman" w:eastAsia="Times New Roman" w:hAnsi="Times New Roman"/>
                <w:color w:val="000000"/>
                <w:sz w:val="24"/>
                <w:szCs w:val="24"/>
                <w:lang w:val="vi-VN"/>
              </w:rPr>
              <w:t>1. Kinh phí chi thường xuyên để thực hiện duy tu, bảo dưỡng đê điều và xử lý cấp bách sự cố đê điều đối với các tuyến đê cấp IV và cấp V được bố trí từ nguồn ngân sách nhà nước theo phân cấp hiện hành và huy động các nguồn vốn hợp pháp khác.</w:t>
            </w:r>
          </w:p>
          <w:p w14:paraId="705297C1" w14:textId="77777777" w:rsidR="00E24C66" w:rsidRPr="00E24C66" w:rsidRDefault="00E24C66" w:rsidP="00FA379A">
            <w:pPr>
              <w:shd w:val="clear" w:color="auto" w:fill="FFFFFF"/>
              <w:spacing w:before="120" w:after="120" w:line="234" w:lineRule="atLeast"/>
              <w:jc w:val="both"/>
              <w:rPr>
                <w:rFonts w:ascii="Times New Roman" w:eastAsia="Times New Roman" w:hAnsi="Times New Roman"/>
                <w:color w:val="000000"/>
                <w:sz w:val="24"/>
                <w:szCs w:val="24"/>
                <w:lang w:val="vi-VN"/>
              </w:rPr>
            </w:pPr>
            <w:r w:rsidRPr="00E24C66">
              <w:rPr>
                <w:rFonts w:ascii="Times New Roman" w:eastAsia="Times New Roman" w:hAnsi="Times New Roman"/>
                <w:color w:val="000000"/>
                <w:sz w:val="24"/>
                <w:szCs w:val="24"/>
                <w:lang w:val="vi-VN"/>
              </w:rPr>
              <w:t>Trong năm, trường hợp phát sinh các sự cố cấp bách về đê điều, Ủy ban nhân dân các huyện, thành phố, thị xã chủ động sử dụng nguồn dự phòng, nguồn tăng thu, tiết kiệm chi ngân sách cấp huyện và huy động các nguồn lực sẵn có tại chỗ để kịp thời xử lý sự cố; trường hợp các địa phương chi cho công tác khắc phục sự cố đê điều mới phát sinh ở mức độ lớn (vượt quá 70% nguồn dự phòng ngân sách cấp huyện và sử dụng hết nguồn tăng thu, tiết kiệm chi ngân sách cấp huyện), Ủy ban nhân dân cấp huyện kịp thời tổng hợp, báo cáo Ủy ban nhân dân tỉnh xem xét, quyết định.</w:t>
            </w:r>
          </w:p>
          <w:p w14:paraId="2B94B2B6" w14:textId="7DA48659" w:rsidR="00E24C66" w:rsidRPr="00FA379A" w:rsidRDefault="00E24C66" w:rsidP="00FA379A">
            <w:pPr>
              <w:shd w:val="clear" w:color="auto" w:fill="FFFFFF"/>
              <w:spacing w:before="120" w:after="120" w:line="234" w:lineRule="atLeast"/>
              <w:jc w:val="both"/>
              <w:rPr>
                <w:rFonts w:ascii="Times New Roman" w:eastAsia="Times New Roman" w:hAnsi="Times New Roman"/>
                <w:color w:val="000000"/>
                <w:sz w:val="24"/>
                <w:szCs w:val="24"/>
                <w:lang w:val="vi-VN"/>
              </w:rPr>
            </w:pPr>
          </w:p>
        </w:tc>
        <w:tc>
          <w:tcPr>
            <w:tcW w:w="5096" w:type="dxa"/>
          </w:tcPr>
          <w:p w14:paraId="51CA7C50" w14:textId="7413403B" w:rsidR="00650488" w:rsidRPr="00650488" w:rsidRDefault="00650488" w:rsidP="00650488">
            <w:pPr>
              <w:spacing w:before="120" w:after="120"/>
              <w:jc w:val="both"/>
              <w:rPr>
                <w:rFonts w:ascii="Times New Roman" w:hAnsi="Times New Roman"/>
                <w:b/>
                <w:bCs/>
                <w:sz w:val="24"/>
                <w:szCs w:val="24"/>
              </w:rPr>
            </w:pPr>
            <w:r w:rsidRPr="00650488">
              <w:rPr>
                <w:rFonts w:ascii="Times New Roman" w:hAnsi="Times New Roman"/>
                <w:b/>
                <w:bCs/>
                <w:sz w:val="24"/>
                <w:szCs w:val="24"/>
              </w:rPr>
              <w:lastRenderedPageBreak/>
              <w:t xml:space="preserve">Điều </w:t>
            </w:r>
            <w:r w:rsidR="00C5537D">
              <w:rPr>
                <w:rFonts w:ascii="Times New Roman" w:hAnsi="Times New Roman"/>
                <w:b/>
                <w:bCs/>
                <w:sz w:val="24"/>
                <w:szCs w:val="24"/>
              </w:rPr>
              <w:t>1</w:t>
            </w:r>
            <w:r w:rsidRPr="00650488">
              <w:rPr>
                <w:rFonts w:ascii="Times New Roman" w:hAnsi="Times New Roman"/>
                <w:b/>
                <w:bCs/>
                <w:sz w:val="24"/>
                <w:szCs w:val="24"/>
              </w:rPr>
              <w:t xml:space="preserve">. </w:t>
            </w:r>
            <w:r w:rsidR="00C5537D" w:rsidRPr="001447EB">
              <w:rPr>
                <w:rFonts w:ascii="Times New Roman" w:hAnsi="Times New Roman"/>
                <w:b/>
                <w:bCs/>
                <w:sz w:val="24"/>
                <w:szCs w:val="24"/>
              </w:rPr>
              <w:t>Sửa đổi khoản 1 Điều 3 Nghị quyết số 250/2020/NQ-HĐND ngày 08/12/2020 của HĐND tỉnh quy định nội dung, nhiệm vụ chi duy tu, bảo dưỡng và xử lý cấp bách sự cố đê điều thuộc hệ thống đê điều do địa phương quản lý trên địa bàn tỉnh Hà Tĩnh như sau</w:t>
            </w:r>
            <w:r w:rsidR="00C5537D">
              <w:rPr>
                <w:rFonts w:ascii="Times New Roman" w:hAnsi="Times New Roman"/>
                <w:b/>
                <w:bCs/>
                <w:sz w:val="24"/>
                <w:szCs w:val="24"/>
              </w:rPr>
              <w:t>:</w:t>
            </w:r>
          </w:p>
          <w:p w14:paraId="600FFABA" w14:textId="77777777" w:rsidR="00650488" w:rsidRPr="00650488" w:rsidRDefault="00650488" w:rsidP="00650488">
            <w:pPr>
              <w:spacing w:before="120" w:after="120"/>
              <w:jc w:val="both"/>
              <w:rPr>
                <w:rFonts w:ascii="Times New Roman" w:hAnsi="Times New Roman"/>
                <w:sz w:val="24"/>
                <w:szCs w:val="24"/>
              </w:rPr>
            </w:pPr>
            <w:r w:rsidRPr="00650488">
              <w:rPr>
                <w:rFonts w:ascii="Times New Roman" w:hAnsi="Times New Roman"/>
                <w:sz w:val="24"/>
                <w:szCs w:val="24"/>
              </w:rPr>
              <w:t>1. Kinh phí chi thường xuyên để thực hiện duy tu, bảo dưỡng đê điều và xử lý cấp bách sự cố đê điều đối với các tuyến đê cấp IV và cấp V được bố trí từ nguồn ngân sách nhà nước theo phân cấp hiện hành và huy động các nguồn vốn hợp pháp khác.</w:t>
            </w:r>
          </w:p>
          <w:p w14:paraId="0298C3AB" w14:textId="736558C5" w:rsidR="00E24C66" w:rsidRPr="00650488" w:rsidRDefault="00650488" w:rsidP="00C5537D">
            <w:pPr>
              <w:spacing w:before="120" w:after="120"/>
              <w:jc w:val="both"/>
              <w:rPr>
                <w:rFonts w:ascii="Times New Roman" w:hAnsi="Times New Roman"/>
                <w:b/>
                <w:bCs/>
                <w:sz w:val="24"/>
                <w:szCs w:val="24"/>
                <w:lang w:val="vi-VN"/>
              </w:rPr>
            </w:pPr>
            <w:r w:rsidRPr="00650488">
              <w:rPr>
                <w:rFonts w:ascii="Times New Roman" w:hAnsi="Times New Roman"/>
                <w:sz w:val="24"/>
                <w:szCs w:val="24"/>
              </w:rPr>
              <w:t xml:space="preserve">Trong năm, trường hợp phát sinh các sự cố cấp bách về đê điều, Ủy ban nhân dân các xã, phường chủ động sử dụng nguồn dự phòng, nguồn tăng thu, tiết kiệm chi ngân sách cấp huyện và huy động các nguồn lực sẵn có tại chỗ để kịp thời xử lý sự cố; trường hợp các địa phương chi cho công tác khắc </w:t>
            </w:r>
            <w:r w:rsidRPr="00650488">
              <w:rPr>
                <w:rFonts w:ascii="Times New Roman" w:hAnsi="Times New Roman"/>
                <w:sz w:val="24"/>
                <w:szCs w:val="24"/>
              </w:rPr>
              <w:lastRenderedPageBreak/>
              <w:t>phục sự cố đê điều mới phát sinh ở mức độ lớn (vượt quá 70% nguồn dự phòng ngân sách cấp xã và sử dụng hết nguồn tăng thu, tiết kiệm chi ngân sách cấp xã), Ủy ban nhân dân cấp xã kịp thời tổng hợp, báo cáo Ủy ban nhân dân tỉnh xem xét, quyết định.</w:t>
            </w:r>
          </w:p>
        </w:tc>
        <w:tc>
          <w:tcPr>
            <w:tcW w:w="4777" w:type="dxa"/>
          </w:tcPr>
          <w:p w14:paraId="0C229FA8" w14:textId="52B3110F" w:rsidR="00650488" w:rsidRPr="00182872" w:rsidRDefault="00650488" w:rsidP="00650488">
            <w:pPr>
              <w:spacing w:after="0" w:line="240" w:lineRule="auto"/>
              <w:jc w:val="both"/>
              <w:rPr>
                <w:rFonts w:ascii="Times New Roman" w:hAnsi="Times New Roman"/>
                <w:sz w:val="24"/>
                <w:szCs w:val="24"/>
              </w:rPr>
            </w:pPr>
            <w:r w:rsidRPr="00182872">
              <w:rPr>
                <w:rFonts w:ascii="Times New Roman" w:hAnsi="Times New Roman"/>
                <w:sz w:val="24"/>
                <w:szCs w:val="24"/>
              </w:rPr>
              <w:lastRenderedPageBreak/>
              <w:t xml:space="preserve">- </w:t>
            </w:r>
            <w:r>
              <w:rPr>
                <w:rFonts w:ascii="Times New Roman" w:hAnsi="Times New Roman"/>
                <w:sz w:val="24"/>
                <w:szCs w:val="24"/>
              </w:rPr>
              <w:t>Thay thế</w:t>
            </w:r>
            <w:r w:rsidRPr="00182872">
              <w:rPr>
                <w:rFonts w:ascii="Times New Roman" w:hAnsi="Times New Roman"/>
                <w:sz w:val="24"/>
                <w:szCs w:val="24"/>
              </w:rPr>
              <w:t xml:space="preserve"> UBND cấp huyện </w:t>
            </w:r>
            <w:r>
              <w:rPr>
                <w:rFonts w:ascii="Times New Roman" w:hAnsi="Times New Roman"/>
                <w:sz w:val="24"/>
                <w:szCs w:val="24"/>
              </w:rPr>
              <w:t xml:space="preserve">thành UBND cấp xã </w:t>
            </w:r>
            <w:r w:rsidRPr="00182872">
              <w:rPr>
                <w:rFonts w:ascii="Times New Roman" w:hAnsi="Times New Roman"/>
                <w:sz w:val="24"/>
                <w:szCs w:val="24"/>
              </w:rPr>
              <w:t xml:space="preserve">để phù hợp với chính quyền địa phương 02 cấp (tỉnh, xã). </w:t>
            </w:r>
          </w:p>
          <w:p w14:paraId="3997188A" w14:textId="77777777" w:rsidR="00E24C66" w:rsidRPr="00C74481" w:rsidRDefault="00E24C66" w:rsidP="00662640">
            <w:pPr>
              <w:spacing w:after="0" w:line="240" w:lineRule="auto"/>
              <w:jc w:val="both"/>
              <w:rPr>
                <w:rFonts w:ascii="Times New Roman" w:hAnsi="Times New Roman"/>
                <w:sz w:val="24"/>
                <w:szCs w:val="24"/>
              </w:rPr>
            </w:pPr>
          </w:p>
        </w:tc>
      </w:tr>
      <w:tr w:rsidR="00E24C66" w:rsidRPr="00C74481" w14:paraId="44AC4C56" w14:textId="77777777" w:rsidTr="00662640">
        <w:trPr>
          <w:trHeight w:val="205"/>
          <w:jc w:val="center"/>
        </w:trPr>
        <w:tc>
          <w:tcPr>
            <w:tcW w:w="568" w:type="dxa"/>
            <w:vAlign w:val="center"/>
          </w:tcPr>
          <w:p w14:paraId="1CD55B5C" w14:textId="77777777" w:rsidR="00E24C66" w:rsidRPr="00E24C66" w:rsidRDefault="00E24C66" w:rsidP="0066264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4956" w:type="dxa"/>
          </w:tcPr>
          <w:p w14:paraId="401E9018" w14:textId="77777777" w:rsidR="00E24C66" w:rsidRPr="00E24C66" w:rsidRDefault="00E24C66" w:rsidP="00E24C66">
            <w:pPr>
              <w:shd w:val="clear" w:color="auto" w:fill="FFFFFF"/>
              <w:spacing w:after="0" w:line="234" w:lineRule="atLeast"/>
              <w:rPr>
                <w:rFonts w:ascii="Times New Roman" w:eastAsia="Times New Roman" w:hAnsi="Times New Roman"/>
                <w:b/>
                <w:bCs/>
                <w:color w:val="000000"/>
                <w:sz w:val="24"/>
                <w:szCs w:val="24"/>
                <w:lang w:val="vi-VN"/>
              </w:rPr>
            </w:pPr>
            <w:bookmarkStart w:id="1" w:name="dieu_4"/>
            <w:r w:rsidRPr="00E24C66">
              <w:rPr>
                <w:rFonts w:ascii="Times New Roman" w:eastAsia="Times New Roman" w:hAnsi="Times New Roman"/>
                <w:b/>
                <w:bCs/>
                <w:color w:val="000000"/>
                <w:sz w:val="24"/>
                <w:szCs w:val="24"/>
                <w:lang w:val="vi-VN"/>
              </w:rPr>
              <w:t>Điều 4. Tổ chức thực hiện</w:t>
            </w:r>
            <w:bookmarkEnd w:id="1"/>
          </w:p>
          <w:p w14:paraId="6F8AC0FB" w14:textId="77777777" w:rsidR="00E24C66" w:rsidRPr="00E24C66" w:rsidRDefault="00E24C66" w:rsidP="00FA379A">
            <w:pPr>
              <w:shd w:val="clear" w:color="auto" w:fill="FFFFFF"/>
              <w:spacing w:before="120" w:after="120" w:line="234" w:lineRule="atLeast"/>
              <w:jc w:val="both"/>
              <w:rPr>
                <w:rFonts w:ascii="Times New Roman" w:eastAsia="Times New Roman" w:hAnsi="Times New Roman"/>
                <w:color w:val="000000"/>
                <w:sz w:val="24"/>
                <w:szCs w:val="24"/>
                <w:lang w:val="vi-VN"/>
              </w:rPr>
            </w:pPr>
            <w:r w:rsidRPr="00E24C66">
              <w:rPr>
                <w:rFonts w:ascii="Times New Roman" w:eastAsia="Times New Roman" w:hAnsi="Times New Roman"/>
                <w:color w:val="000000"/>
                <w:sz w:val="24"/>
                <w:szCs w:val="24"/>
                <w:lang w:val="vi-VN"/>
              </w:rPr>
              <w:t>1. Ủy ban nhân dân tỉnh tổ chức thực hiện Nghị quyết này.</w:t>
            </w:r>
          </w:p>
          <w:p w14:paraId="391A5C56" w14:textId="77777777" w:rsidR="00E24C66" w:rsidRPr="00E24C66" w:rsidRDefault="00E24C66" w:rsidP="00FA379A">
            <w:pPr>
              <w:shd w:val="clear" w:color="auto" w:fill="FFFFFF"/>
              <w:spacing w:before="120" w:after="120" w:line="234" w:lineRule="atLeast"/>
              <w:jc w:val="both"/>
              <w:rPr>
                <w:rFonts w:ascii="Times New Roman" w:eastAsia="Times New Roman" w:hAnsi="Times New Roman"/>
                <w:color w:val="000000"/>
                <w:sz w:val="24"/>
                <w:szCs w:val="24"/>
                <w:lang w:val="vi-VN"/>
              </w:rPr>
            </w:pPr>
            <w:r w:rsidRPr="00E24C66">
              <w:rPr>
                <w:rFonts w:ascii="Times New Roman" w:eastAsia="Times New Roman" w:hAnsi="Times New Roman"/>
                <w:color w:val="000000"/>
                <w:sz w:val="24"/>
                <w:szCs w:val="24"/>
                <w:lang w:val="vi-VN"/>
              </w:rPr>
              <w:t>2. Thường trực Hội đồng nhân dân, các ban của Hội đồng nhân dân, các tổ đại biểu Hội đồng nhân dân và đại biểu Hội đồng nhân dân tỉnh giám sát việc thực hiện Nghị quyết.</w:t>
            </w:r>
          </w:p>
          <w:p w14:paraId="36800C02" w14:textId="77777777" w:rsidR="00E24C66" w:rsidRPr="00C74481" w:rsidRDefault="00E24C66" w:rsidP="00662640">
            <w:pPr>
              <w:pStyle w:val="NormalWeb"/>
              <w:shd w:val="clear" w:color="auto" w:fill="FFFFFF"/>
              <w:spacing w:before="0" w:beforeAutospacing="0" w:after="0" w:afterAutospacing="0"/>
              <w:rPr>
                <w:color w:val="000000"/>
                <w:lang w:val="vi-VN"/>
              </w:rPr>
            </w:pPr>
          </w:p>
        </w:tc>
        <w:tc>
          <w:tcPr>
            <w:tcW w:w="5096" w:type="dxa"/>
          </w:tcPr>
          <w:p w14:paraId="6063FAF1" w14:textId="77777777" w:rsidR="00C5537D" w:rsidRPr="00C5537D" w:rsidRDefault="00C5537D" w:rsidP="00C5537D">
            <w:pPr>
              <w:spacing w:before="120" w:after="120"/>
              <w:jc w:val="both"/>
              <w:rPr>
                <w:rFonts w:ascii="Times New Roman" w:hAnsi="Times New Roman"/>
                <w:b/>
                <w:bCs/>
                <w:sz w:val="24"/>
                <w:szCs w:val="24"/>
              </w:rPr>
            </w:pPr>
            <w:r w:rsidRPr="00C5537D">
              <w:rPr>
                <w:rFonts w:ascii="Times New Roman" w:hAnsi="Times New Roman"/>
                <w:b/>
                <w:bCs/>
                <w:sz w:val="24"/>
                <w:szCs w:val="24"/>
              </w:rPr>
              <w:t>Điều 2. Trách nhiệm tổ chức thực hiện</w:t>
            </w:r>
          </w:p>
          <w:p w14:paraId="769ED5D3" w14:textId="77777777" w:rsidR="00C5537D" w:rsidRPr="00C5537D" w:rsidRDefault="00C5537D" w:rsidP="00C5537D">
            <w:pPr>
              <w:spacing w:before="120" w:after="120"/>
              <w:jc w:val="both"/>
              <w:rPr>
                <w:rFonts w:ascii="Times New Roman" w:hAnsi="Times New Roman"/>
                <w:sz w:val="24"/>
                <w:szCs w:val="24"/>
              </w:rPr>
            </w:pPr>
            <w:r w:rsidRPr="00C5537D">
              <w:rPr>
                <w:rFonts w:ascii="Times New Roman" w:hAnsi="Times New Roman"/>
                <w:sz w:val="24"/>
                <w:szCs w:val="24"/>
              </w:rPr>
              <w:t>1. Ủy ban nhân dân tổ chức thực hiện Nghị quyết này.</w:t>
            </w:r>
          </w:p>
          <w:p w14:paraId="69596D95" w14:textId="5D0DAA57" w:rsidR="00E24C66" w:rsidRPr="00A02022" w:rsidRDefault="00C5537D" w:rsidP="00C5537D">
            <w:pPr>
              <w:spacing w:before="120" w:after="120"/>
              <w:jc w:val="both"/>
              <w:rPr>
                <w:rFonts w:ascii="Times New Roman" w:hAnsi="Times New Roman"/>
                <w:sz w:val="24"/>
                <w:szCs w:val="24"/>
              </w:rPr>
            </w:pPr>
            <w:r w:rsidRPr="00C5537D">
              <w:rPr>
                <w:rFonts w:ascii="Times New Roman" w:hAnsi="Times New Roman"/>
                <w:sz w:val="24"/>
                <w:szCs w:val="24"/>
              </w:rPr>
              <w:t>2. Thường trực Hội đồng nhân dân, các Ban Hội đồng nhân dân, các Tổ đại biểu Hội đồng nhân dân và Đại biểu Hội đồng nhân dân tỉnh giám sát việc thực hiện Nghị quyết.</w:t>
            </w:r>
          </w:p>
        </w:tc>
        <w:tc>
          <w:tcPr>
            <w:tcW w:w="4777" w:type="dxa"/>
          </w:tcPr>
          <w:p w14:paraId="26CDEA90" w14:textId="58F3222E" w:rsidR="00E24C66" w:rsidRPr="001447EB" w:rsidRDefault="00985D57" w:rsidP="00662640">
            <w:pPr>
              <w:spacing w:after="0" w:line="240" w:lineRule="auto"/>
              <w:jc w:val="both"/>
              <w:rPr>
                <w:rFonts w:ascii="Times New Roman" w:hAnsi="Times New Roman"/>
                <w:sz w:val="24"/>
                <w:szCs w:val="24"/>
              </w:rPr>
            </w:pPr>
            <w:r w:rsidRPr="001447EB">
              <w:rPr>
                <w:rFonts w:ascii="Times New Roman" w:hAnsi="Times New Roman"/>
                <w:sz w:val="24"/>
                <w:szCs w:val="24"/>
              </w:rPr>
              <w:t>Không thay đổi</w:t>
            </w:r>
          </w:p>
        </w:tc>
      </w:tr>
      <w:tr w:rsidR="00650488" w:rsidRPr="00C74481" w14:paraId="57D3EDEC" w14:textId="77777777" w:rsidTr="00662640">
        <w:trPr>
          <w:trHeight w:val="205"/>
          <w:jc w:val="center"/>
        </w:trPr>
        <w:tc>
          <w:tcPr>
            <w:tcW w:w="568" w:type="dxa"/>
            <w:vAlign w:val="center"/>
          </w:tcPr>
          <w:p w14:paraId="4DEE2400" w14:textId="63E6D007" w:rsidR="00650488" w:rsidRDefault="00650488" w:rsidP="00662640">
            <w:pPr>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4956" w:type="dxa"/>
          </w:tcPr>
          <w:p w14:paraId="43E80178" w14:textId="006954CC" w:rsidR="00650488" w:rsidRPr="00650488" w:rsidRDefault="00650488" w:rsidP="00E24C66">
            <w:pPr>
              <w:shd w:val="clear" w:color="auto" w:fill="FFFFFF"/>
              <w:spacing w:after="0" w:line="234" w:lineRule="atLeast"/>
              <w:rPr>
                <w:rFonts w:ascii="Times New Roman" w:eastAsia="Times New Roman" w:hAnsi="Times New Roman"/>
                <w:color w:val="000000"/>
                <w:sz w:val="24"/>
                <w:szCs w:val="24"/>
              </w:rPr>
            </w:pPr>
            <w:r w:rsidRPr="00650488">
              <w:rPr>
                <w:rFonts w:ascii="Times New Roman" w:eastAsia="Times New Roman" w:hAnsi="Times New Roman"/>
                <w:color w:val="000000"/>
                <w:sz w:val="24"/>
                <w:szCs w:val="24"/>
              </w:rPr>
              <w:t>Không có</w:t>
            </w:r>
          </w:p>
        </w:tc>
        <w:tc>
          <w:tcPr>
            <w:tcW w:w="5096" w:type="dxa"/>
          </w:tcPr>
          <w:p w14:paraId="2AE702E6" w14:textId="00DE7690" w:rsidR="00650488" w:rsidRPr="00650488" w:rsidRDefault="00650488" w:rsidP="00650488">
            <w:pPr>
              <w:spacing w:before="120" w:after="120"/>
              <w:jc w:val="both"/>
              <w:rPr>
                <w:rFonts w:ascii="Times New Roman" w:hAnsi="Times New Roman"/>
                <w:b/>
                <w:bCs/>
                <w:sz w:val="24"/>
                <w:szCs w:val="24"/>
              </w:rPr>
            </w:pPr>
            <w:r w:rsidRPr="00650488">
              <w:rPr>
                <w:rFonts w:ascii="Times New Roman" w:hAnsi="Times New Roman"/>
                <w:b/>
                <w:bCs/>
                <w:sz w:val="24"/>
                <w:szCs w:val="24"/>
              </w:rPr>
              <w:t xml:space="preserve">Điều </w:t>
            </w:r>
            <w:r w:rsidR="00C5537D">
              <w:rPr>
                <w:rFonts w:ascii="Times New Roman" w:hAnsi="Times New Roman"/>
                <w:b/>
                <w:bCs/>
                <w:sz w:val="24"/>
                <w:szCs w:val="24"/>
              </w:rPr>
              <w:t>3</w:t>
            </w:r>
            <w:r w:rsidRPr="00650488">
              <w:rPr>
                <w:rFonts w:ascii="Times New Roman" w:hAnsi="Times New Roman"/>
                <w:b/>
                <w:bCs/>
                <w:sz w:val="24"/>
                <w:szCs w:val="24"/>
              </w:rPr>
              <w:t>. Điều khoản thi hành</w:t>
            </w:r>
          </w:p>
          <w:p w14:paraId="7B66EFAB" w14:textId="77777777" w:rsidR="00650488" w:rsidRPr="00650488" w:rsidRDefault="00650488" w:rsidP="00650488">
            <w:pPr>
              <w:spacing w:before="120" w:after="120"/>
              <w:jc w:val="both"/>
              <w:rPr>
                <w:rFonts w:ascii="Times New Roman" w:hAnsi="Times New Roman"/>
                <w:sz w:val="24"/>
                <w:szCs w:val="24"/>
              </w:rPr>
            </w:pPr>
            <w:r w:rsidRPr="00650488">
              <w:rPr>
                <w:rFonts w:ascii="Times New Roman" w:hAnsi="Times New Roman"/>
                <w:sz w:val="24"/>
                <w:szCs w:val="24"/>
              </w:rPr>
              <w:t>1. Nghị quyết này có hiệu lực thi hành từ ngày    tháng     năm 2025.</w:t>
            </w:r>
          </w:p>
          <w:p w14:paraId="37056337" w14:textId="77777777" w:rsidR="00650488" w:rsidRPr="00650488" w:rsidRDefault="00650488" w:rsidP="00650488">
            <w:pPr>
              <w:spacing w:before="120" w:after="120"/>
              <w:jc w:val="both"/>
              <w:rPr>
                <w:rFonts w:ascii="Times New Roman" w:hAnsi="Times New Roman"/>
                <w:sz w:val="24"/>
                <w:szCs w:val="24"/>
              </w:rPr>
            </w:pPr>
            <w:r w:rsidRPr="00650488">
              <w:rPr>
                <w:rFonts w:ascii="Times New Roman" w:hAnsi="Times New Roman"/>
                <w:sz w:val="24"/>
                <w:szCs w:val="24"/>
              </w:rPr>
              <w:t>2. Khi các văn bản quy định về chế độ, định mức chi dẫn chiếu để áp dụng tại Nghị quyết này được sửa đổi, bổ sung hoặc thay thế bằng văn bản mới thì áp dụng theo các văn bản sửa đổi, bổ sung hoặc thay thế đó.</w:t>
            </w:r>
          </w:p>
          <w:p w14:paraId="368D40E5" w14:textId="77777777" w:rsidR="00650488" w:rsidRPr="00A02022" w:rsidRDefault="00650488" w:rsidP="00662640">
            <w:pPr>
              <w:spacing w:before="100" w:after="100"/>
              <w:jc w:val="both"/>
              <w:rPr>
                <w:rFonts w:ascii="Times New Roman" w:hAnsi="Times New Roman"/>
                <w:sz w:val="24"/>
                <w:szCs w:val="24"/>
              </w:rPr>
            </w:pPr>
          </w:p>
        </w:tc>
        <w:tc>
          <w:tcPr>
            <w:tcW w:w="4777" w:type="dxa"/>
          </w:tcPr>
          <w:p w14:paraId="63FF6509" w14:textId="66D5E47B" w:rsidR="00650488" w:rsidRPr="00650488" w:rsidRDefault="00650488" w:rsidP="00662640">
            <w:pPr>
              <w:spacing w:after="0" w:line="240" w:lineRule="auto"/>
              <w:jc w:val="both"/>
              <w:rPr>
                <w:rFonts w:ascii="Times New Roman" w:hAnsi="Times New Roman"/>
                <w:sz w:val="24"/>
                <w:szCs w:val="24"/>
              </w:rPr>
            </w:pPr>
            <w:r w:rsidRPr="00650488">
              <w:rPr>
                <w:rFonts w:ascii="Times New Roman" w:hAnsi="Times New Roman"/>
                <w:sz w:val="24"/>
                <w:szCs w:val="24"/>
              </w:rPr>
              <w:t>Bổ sung thời điểm có hiệu lực của Nghị quyết</w:t>
            </w:r>
            <w:r w:rsidR="00985D57">
              <w:rPr>
                <w:rFonts w:ascii="Times New Roman" w:hAnsi="Times New Roman"/>
                <w:sz w:val="24"/>
                <w:szCs w:val="24"/>
              </w:rPr>
              <w:t xml:space="preserve"> và bổ sung dẫn chiếu các quy định về chế độ định mức thay đổi thì chế độ tại Nghị quyết này cũng thay đổi theo</w:t>
            </w:r>
          </w:p>
        </w:tc>
      </w:tr>
    </w:tbl>
    <w:p w14:paraId="20F957A9" w14:textId="77777777" w:rsidR="00E24C66" w:rsidRPr="000B4917" w:rsidRDefault="00E24C66" w:rsidP="00E24C66">
      <w:pPr>
        <w:spacing w:after="0" w:line="240" w:lineRule="auto"/>
        <w:jc w:val="both"/>
        <w:rPr>
          <w:rFonts w:ascii="Times New Roman" w:hAnsi="Times New Roman"/>
          <w:iCs/>
          <w:sz w:val="24"/>
          <w:szCs w:val="24"/>
        </w:rPr>
      </w:pPr>
    </w:p>
    <w:p w14:paraId="18A4AEC3" w14:textId="77777777" w:rsidR="006A7AEB" w:rsidRDefault="006A7AEB"/>
    <w:sectPr w:rsidR="006A7AEB" w:rsidSect="00C510FB">
      <w:headerReference w:type="default" r:id="rId6"/>
      <w:pgSz w:w="16838" w:h="11906" w:orient="landscape" w:code="9"/>
      <w:pgMar w:top="794" w:right="907" w:bottom="851" w:left="9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7CB98" w14:textId="77777777" w:rsidR="00995A55" w:rsidRDefault="00995A55">
      <w:pPr>
        <w:spacing w:after="0" w:line="240" w:lineRule="auto"/>
      </w:pPr>
      <w:r>
        <w:separator/>
      </w:r>
    </w:p>
  </w:endnote>
  <w:endnote w:type="continuationSeparator" w:id="0">
    <w:p w14:paraId="6EF4FA6E" w14:textId="77777777" w:rsidR="00995A55" w:rsidRDefault="00995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79840" w14:textId="77777777" w:rsidR="00995A55" w:rsidRDefault="00995A55">
      <w:pPr>
        <w:spacing w:after="0" w:line="240" w:lineRule="auto"/>
      </w:pPr>
      <w:r>
        <w:separator/>
      </w:r>
    </w:p>
  </w:footnote>
  <w:footnote w:type="continuationSeparator" w:id="0">
    <w:p w14:paraId="5BE1224D" w14:textId="77777777" w:rsidR="00995A55" w:rsidRDefault="00995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31777416"/>
      <w:docPartObj>
        <w:docPartGallery w:val="Page Numbers (Top of Page)"/>
        <w:docPartUnique/>
      </w:docPartObj>
    </w:sdtPr>
    <w:sdtEndPr>
      <w:rPr>
        <w:noProof/>
      </w:rPr>
    </w:sdtEndPr>
    <w:sdtContent>
      <w:p w14:paraId="7389A305" w14:textId="77777777" w:rsidR="008E57A7" w:rsidRPr="00E271B0" w:rsidRDefault="00FA379A">
        <w:pPr>
          <w:pStyle w:val="Header"/>
          <w:jc w:val="center"/>
          <w:rPr>
            <w:rFonts w:ascii="Times New Roman" w:hAnsi="Times New Roman"/>
            <w:sz w:val="24"/>
            <w:szCs w:val="24"/>
          </w:rPr>
        </w:pPr>
        <w:r w:rsidRPr="00E271B0">
          <w:rPr>
            <w:rFonts w:ascii="Times New Roman" w:hAnsi="Times New Roman"/>
            <w:sz w:val="24"/>
            <w:szCs w:val="24"/>
          </w:rPr>
          <w:fldChar w:fldCharType="begin"/>
        </w:r>
        <w:r w:rsidRPr="00E271B0">
          <w:rPr>
            <w:rFonts w:ascii="Times New Roman" w:hAnsi="Times New Roman"/>
            <w:sz w:val="24"/>
            <w:szCs w:val="24"/>
          </w:rPr>
          <w:instrText xml:space="preserve"> PAGE   \* MERGEFORMAT </w:instrText>
        </w:r>
        <w:r w:rsidRPr="00E271B0">
          <w:rPr>
            <w:rFonts w:ascii="Times New Roman" w:hAnsi="Times New Roman"/>
            <w:sz w:val="24"/>
            <w:szCs w:val="24"/>
          </w:rPr>
          <w:fldChar w:fldCharType="separate"/>
        </w:r>
        <w:r>
          <w:rPr>
            <w:rFonts w:ascii="Times New Roman" w:hAnsi="Times New Roman"/>
            <w:noProof/>
            <w:sz w:val="24"/>
            <w:szCs w:val="24"/>
          </w:rPr>
          <w:t>23</w:t>
        </w:r>
        <w:r w:rsidRPr="00E271B0">
          <w:rPr>
            <w:rFonts w:ascii="Times New Roman" w:hAnsi="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C66"/>
    <w:rsid w:val="001447EB"/>
    <w:rsid w:val="0038603D"/>
    <w:rsid w:val="00534A9D"/>
    <w:rsid w:val="00650488"/>
    <w:rsid w:val="006A7AEB"/>
    <w:rsid w:val="006E0EF7"/>
    <w:rsid w:val="00700439"/>
    <w:rsid w:val="0089406D"/>
    <w:rsid w:val="008E57A7"/>
    <w:rsid w:val="00985D57"/>
    <w:rsid w:val="00995A55"/>
    <w:rsid w:val="00A2702F"/>
    <w:rsid w:val="00A96086"/>
    <w:rsid w:val="00BF5AC9"/>
    <w:rsid w:val="00C5537D"/>
    <w:rsid w:val="00E24C66"/>
    <w:rsid w:val="00FA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85D5F"/>
  <w15:chartTrackingRefBased/>
  <w15:docId w15:val="{69A44A21-B845-4C4C-97A6-041DA151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C6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E24C66"/>
    <w:pPr>
      <w:widowControl w:val="0"/>
      <w:autoSpaceDE w:val="0"/>
      <w:autoSpaceDN w:val="0"/>
      <w:spacing w:after="0" w:line="240" w:lineRule="auto"/>
    </w:pPr>
    <w:rPr>
      <w:rFonts w:ascii="Times New Roman" w:eastAsia="Times New Roman" w:hAnsi="Times New Roman"/>
    </w:rPr>
  </w:style>
  <w:style w:type="paragraph" w:styleId="NormalWeb">
    <w:name w:val="Normal (Web)"/>
    <w:basedOn w:val="Normal"/>
    <w:uiPriority w:val="99"/>
    <w:unhideWhenUsed/>
    <w:rsid w:val="00E24C66"/>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E24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C66"/>
    <w:rPr>
      <w:rFonts w:ascii="Calibri" w:eastAsia="Calibri" w:hAnsi="Calibri" w:cs="Times New Roman"/>
    </w:rPr>
  </w:style>
  <w:style w:type="paragraph" w:styleId="Revision">
    <w:name w:val="Revision"/>
    <w:hidden/>
    <w:uiPriority w:val="99"/>
    <w:semiHidden/>
    <w:rsid w:val="00985D5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173214">
      <w:bodyDiv w:val="1"/>
      <w:marLeft w:val="0"/>
      <w:marRight w:val="0"/>
      <w:marTop w:val="0"/>
      <w:marBottom w:val="0"/>
      <w:divBdr>
        <w:top w:val="none" w:sz="0" w:space="0" w:color="auto"/>
        <w:left w:val="none" w:sz="0" w:space="0" w:color="auto"/>
        <w:bottom w:val="none" w:sz="0" w:space="0" w:color="auto"/>
        <w:right w:val="none" w:sz="0" w:space="0" w:color="auto"/>
      </w:divBdr>
    </w:div>
    <w:div w:id="950549319">
      <w:bodyDiv w:val="1"/>
      <w:marLeft w:val="0"/>
      <w:marRight w:val="0"/>
      <w:marTop w:val="0"/>
      <w:marBottom w:val="0"/>
      <w:divBdr>
        <w:top w:val="none" w:sz="0" w:space="0" w:color="auto"/>
        <w:left w:val="none" w:sz="0" w:space="0" w:color="auto"/>
        <w:bottom w:val="none" w:sz="0" w:space="0" w:color="auto"/>
        <w:right w:val="none" w:sz="0" w:space="0" w:color="auto"/>
      </w:divBdr>
    </w:div>
    <w:div w:id="1576013826">
      <w:bodyDiv w:val="1"/>
      <w:marLeft w:val="0"/>
      <w:marRight w:val="0"/>
      <w:marTop w:val="0"/>
      <w:marBottom w:val="0"/>
      <w:divBdr>
        <w:top w:val="none" w:sz="0" w:space="0" w:color="auto"/>
        <w:left w:val="none" w:sz="0" w:space="0" w:color="auto"/>
        <w:bottom w:val="none" w:sz="0" w:space="0" w:color="auto"/>
        <w:right w:val="none" w:sz="0" w:space="0" w:color="auto"/>
      </w:divBdr>
    </w:div>
    <w:div w:id="168578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Cường Nguyễn Quang</dc:creator>
  <cp:keywords/>
  <dc:description/>
  <cp:lastModifiedBy>NHC</cp:lastModifiedBy>
  <cp:revision>4</cp:revision>
  <dcterms:created xsi:type="dcterms:W3CDTF">2025-09-07T04:01:00Z</dcterms:created>
  <dcterms:modified xsi:type="dcterms:W3CDTF">2025-09-09T07:40:00Z</dcterms:modified>
</cp:coreProperties>
</file>